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5C" w:rsidRDefault="00AF115C" w:rsidP="00AF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AF115C" w:rsidRPr="00711B70" w:rsidTr="00C83F7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15C" w:rsidRPr="00711B70" w:rsidRDefault="00AF115C" w:rsidP="00C83F7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7CB79" wp14:editId="23F5BFD1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115C" w:rsidRPr="00711B70" w:rsidTr="00C83F7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115C" w:rsidRPr="00711B70" w:rsidTr="00C83F7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15C" w:rsidRPr="00711B70" w:rsidRDefault="00AF115C" w:rsidP="00C83F76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F115C" w:rsidRPr="00711B70" w:rsidTr="00C83F76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5C" w:rsidRPr="00711B70" w:rsidRDefault="00D55D23" w:rsidP="00C83F7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</w:t>
            </w:r>
            <w:r w:rsidR="00AF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.01.2022</w:t>
            </w:r>
            <w:r w:rsidR="00AF115C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15C" w:rsidRPr="00711B70" w:rsidRDefault="00AF115C" w:rsidP="000E0D3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</w:t>
            </w:r>
            <w:r w:rsidR="000E0D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AF115C" w:rsidRPr="00711B70" w:rsidTr="00C83F7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AF115C" w:rsidRPr="00711B70" w:rsidRDefault="00AF115C" w:rsidP="00AF11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5C" w:rsidRPr="00711B70" w:rsidRDefault="00AF115C" w:rsidP="00AF115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115C" w:rsidRPr="00711B70" w:rsidTr="00C83F76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AF115C" w:rsidRPr="00711B70" w:rsidTr="00C83F76">
              <w:tc>
                <w:tcPr>
                  <w:tcW w:w="10060" w:type="dxa"/>
                  <w:hideMark/>
                </w:tcPr>
                <w:p w:rsidR="008A2807" w:rsidRPr="008A2807" w:rsidRDefault="00AF115C" w:rsidP="00C83F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мерах поддержки субъектов малого и среднего предпринимательства в условиях расп</w:t>
                  </w:r>
                  <w:r w:rsidR="008A28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ространения новой </w:t>
                  </w:r>
                  <w:proofErr w:type="spellStart"/>
                  <w:r w:rsidR="008A28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коронавирусной</w:t>
                  </w:r>
                  <w:proofErr w:type="spellEnd"/>
                  <w:r w:rsidR="008A28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инфекции</w:t>
                  </w:r>
                  <w:r w:rsidR="008A28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A28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US" w:eastAsia="ru-RU"/>
                    </w:rPr>
                    <w:t>COVID</w:t>
                  </w:r>
                  <w:r w:rsidR="008A2807" w:rsidRPr="008A28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-19</w:t>
                  </w:r>
                </w:p>
                <w:p w:rsidR="00AF115C" w:rsidRDefault="008A2807" w:rsidP="008A28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F115C" w:rsidRDefault="00AF115C" w:rsidP="00C83F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F115C" w:rsidRPr="00631F95" w:rsidRDefault="00AF115C" w:rsidP="00C83F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115C" w:rsidRPr="00711B70" w:rsidRDefault="00AF115C" w:rsidP="00C83F76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D61FE" w:rsidRDefault="00AF115C" w:rsidP="00AF1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11B70">
        <w:rPr>
          <w:rFonts w:ascii="Arial" w:eastAsia="Calibri" w:hAnsi="Arial" w:cs="Arial"/>
          <w:bCs/>
          <w:sz w:val="24"/>
          <w:szCs w:val="24"/>
        </w:rPr>
        <w:t xml:space="preserve">В </w:t>
      </w:r>
      <w:r>
        <w:rPr>
          <w:rFonts w:ascii="Arial" w:eastAsia="Calibri" w:hAnsi="Arial" w:cs="Arial"/>
          <w:bCs/>
          <w:sz w:val="24"/>
          <w:szCs w:val="24"/>
        </w:rPr>
        <w:t xml:space="preserve">соответствии с </w:t>
      </w:r>
      <w:r w:rsidR="007929B6">
        <w:rPr>
          <w:rFonts w:ascii="Arial" w:eastAsia="Calibri" w:hAnsi="Arial" w:cs="Arial"/>
          <w:bCs/>
          <w:sz w:val="24"/>
          <w:szCs w:val="24"/>
        </w:rPr>
        <w:t xml:space="preserve">постановлением Правительства Алтайского края </w:t>
      </w:r>
      <w:r w:rsidR="004218EF">
        <w:rPr>
          <w:rFonts w:ascii="Arial" w:eastAsia="Calibri" w:hAnsi="Arial" w:cs="Arial"/>
          <w:bCs/>
          <w:sz w:val="24"/>
          <w:szCs w:val="24"/>
        </w:rPr>
        <w:t xml:space="preserve">от 18.03.2020 № 120 «О введении режима повышенной готовности для органов управления и сил Алтайской территориальной подсистемы единой </w:t>
      </w:r>
      <w:proofErr w:type="gramStart"/>
      <w:r w:rsidR="004218EF">
        <w:rPr>
          <w:rFonts w:ascii="Arial" w:eastAsia="Calibri" w:hAnsi="Arial" w:cs="Arial"/>
          <w:bCs/>
          <w:sz w:val="24"/>
          <w:szCs w:val="24"/>
        </w:rPr>
        <w:t xml:space="preserve">государственной системы предупреждения и ликвидации чрезвычайных ситуаций и мерах по предупреждению завоза и распространения новой </w:t>
      </w:r>
      <w:proofErr w:type="spellStart"/>
      <w:r w:rsidR="004218EF">
        <w:rPr>
          <w:rFonts w:ascii="Arial" w:eastAsia="Calibri" w:hAnsi="Arial" w:cs="Arial"/>
          <w:bCs/>
          <w:sz w:val="24"/>
          <w:szCs w:val="24"/>
        </w:rPr>
        <w:t>коронавирусной</w:t>
      </w:r>
      <w:proofErr w:type="spellEnd"/>
      <w:r w:rsidR="004218EF">
        <w:rPr>
          <w:rFonts w:ascii="Arial" w:eastAsia="Calibri" w:hAnsi="Arial" w:cs="Arial"/>
          <w:bCs/>
          <w:sz w:val="24"/>
          <w:szCs w:val="24"/>
        </w:rPr>
        <w:t xml:space="preserve"> инфекции </w:t>
      </w:r>
      <w:r w:rsidR="004218EF">
        <w:rPr>
          <w:rFonts w:ascii="Arial" w:eastAsia="Calibri" w:hAnsi="Arial" w:cs="Arial"/>
          <w:bCs/>
          <w:sz w:val="24"/>
          <w:szCs w:val="24"/>
          <w:lang w:val="en-US"/>
        </w:rPr>
        <w:t>COVID</w:t>
      </w:r>
      <w:r w:rsidR="004218EF" w:rsidRPr="004218EF">
        <w:rPr>
          <w:rFonts w:ascii="Arial" w:eastAsia="Calibri" w:hAnsi="Arial" w:cs="Arial"/>
          <w:bCs/>
          <w:sz w:val="24"/>
          <w:szCs w:val="24"/>
        </w:rPr>
        <w:t>-</w:t>
      </w:r>
      <w:r w:rsidR="004218EF">
        <w:rPr>
          <w:rFonts w:ascii="Arial" w:eastAsia="Calibri" w:hAnsi="Arial" w:cs="Arial"/>
          <w:bCs/>
          <w:sz w:val="24"/>
          <w:szCs w:val="24"/>
        </w:rPr>
        <w:t xml:space="preserve">19», указом Губернатора Алтайского края от 31.03.2020 № 44 «Об отдельных мерах по предупреждению завоза и распространения новой </w:t>
      </w:r>
      <w:proofErr w:type="spellStart"/>
      <w:r w:rsidR="004218EF">
        <w:rPr>
          <w:rFonts w:ascii="Arial" w:eastAsia="Calibri" w:hAnsi="Arial" w:cs="Arial"/>
          <w:bCs/>
          <w:sz w:val="24"/>
          <w:szCs w:val="24"/>
        </w:rPr>
        <w:t>коронавирусной</w:t>
      </w:r>
      <w:proofErr w:type="spellEnd"/>
      <w:r w:rsidR="004218EF">
        <w:rPr>
          <w:rFonts w:ascii="Arial" w:eastAsia="Calibri" w:hAnsi="Arial" w:cs="Arial"/>
          <w:bCs/>
          <w:sz w:val="24"/>
          <w:szCs w:val="24"/>
        </w:rPr>
        <w:t xml:space="preserve"> инфекции </w:t>
      </w:r>
      <w:r w:rsidR="004218EF">
        <w:rPr>
          <w:rFonts w:ascii="Arial" w:eastAsia="Calibri" w:hAnsi="Arial" w:cs="Arial"/>
          <w:bCs/>
          <w:sz w:val="24"/>
          <w:szCs w:val="24"/>
          <w:lang w:val="en-US"/>
        </w:rPr>
        <w:t>COVID</w:t>
      </w:r>
      <w:r w:rsidR="004218EF" w:rsidRPr="004218EF">
        <w:rPr>
          <w:rFonts w:ascii="Arial" w:eastAsia="Calibri" w:hAnsi="Arial" w:cs="Arial"/>
          <w:bCs/>
          <w:sz w:val="24"/>
          <w:szCs w:val="24"/>
        </w:rPr>
        <w:t>-19</w:t>
      </w:r>
      <w:r w:rsidR="004218EF">
        <w:rPr>
          <w:rFonts w:ascii="Arial" w:eastAsia="Calibri" w:hAnsi="Arial" w:cs="Arial"/>
          <w:bCs/>
          <w:sz w:val="24"/>
          <w:szCs w:val="24"/>
        </w:rPr>
        <w:t xml:space="preserve">», постановлением Правительства Алтайского края от 30.12.2021 № 514 «О мерах поддержки субъектов малого и среднего предпринимательства в условиях распространения новой </w:t>
      </w:r>
      <w:proofErr w:type="spellStart"/>
      <w:r w:rsidR="004218EF">
        <w:rPr>
          <w:rFonts w:ascii="Arial" w:eastAsia="Calibri" w:hAnsi="Arial" w:cs="Arial"/>
          <w:bCs/>
          <w:sz w:val="24"/>
          <w:szCs w:val="24"/>
        </w:rPr>
        <w:t>коронавирусной</w:t>
      </w:r>
      <w:proofErr w:type="spellEnd"/>
      <w:r w:rsidR="004218EF">
        <w:rPr>
          <w:rFonts w:ascii="Arial" w:eastAsia="Calibri" w:hAnsi="Arial" w:cs="Arial"/>
          <w:bCs/>
          <w:sz w:val="24"/>
          <w:szCs w:val="24"/>
        </w:rPr>
        <w:t xml:space="preserve"> инфекции </w:t>
      </w:r>
      <w:r w:rsidR="004218EF">
        <w:rPr>
          <w:rFonts w:ascii="Arial" w:eastAsia="Calibri" w:hAnsi="Arial" w:cs="Arial"/>
          <w:bCs/>
          <w:sz w:val="24"/>
          <w:szCs w:val="24"/>
          <w:lang w:val="en-US"/>
        </w:rPr>
        <w:t>COVID</w:t>
      </w:r>
      <w:r w:rsidR="004218EF" w:rsidRPr="004218EF">
        <w:rPr>
          <w:rFonts w:ascii="Arial" w:eastAsia="Calibri" w:hAnsi="Arial" w:cs="Arial"/>
          <w:bCs/>
          <w:sz w:val="24"/>
          <w:szCs w:val="24"/>
        </w:rPr>
        <w:t>-19</w:t>
      </w:r>
      <w:r w:rsidR="004218EF">
        <w:rPr>
          <w:rFonts w:ascii="Arial" w:eastAsia="Calibri" w:hAnsi="Arial" w:cs="Arial"/>
          <w:bCs/>
          <w:sz w:val="24"/>
          <w:szCs w:val="24"/>
        </w:rPr>
        <w:t>», в</w:t>
      </w:r>
      <w:proofErr w:type="gramEnd"/>
      <w:r w:rsidR="004218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4218EF">
        <w:rPr>
          <w:rFonts w:ascii="Arial" w:eastAsia="Calibri" w:hAnsi="Arial" w:cs="Arial"/>
          <w:bCs/>
          <w:sz w:val="24"/>
          <w:szCs w:val="24"/>
        </w:rPr>
        <w:t>целях</w:t>
      </w:r>
      <w:proofErr w:type="gramEnd"/>
      <w:r w:rsidR="004218EF">
        <w:rPr>
          <w:rFonts w:ascii="Arial" w:eastAsia="Calibri" w:hAnsi="Arial" w:cs="Arial"/>
          <w:bCs/>
          <w:sz w:val="24"/>
          <w:szCs w:val="24"/>
        </w:rPr>
        <w:t xml:space="preserve"> осуществления экономической поддержки организаций и индивидуальных предпринимателей в условиях </w:t>
      </w:r>
      <w:r w:rsidR="00ED61FE">
        <w:rPr>
          <w:rFonts w:ascii="Arial" w:eastAsia="Calibri" w:hAnsi="Arial" w:cs="Arial"/>
          <w:bCs/>
          <w:sz w:val="24"/>
          <w:szCs w:val="24"/>
        </w:rPr>
        <w:t xml:space="preserve">распространения на территории Российской Федерации новой </w:t>
      </w:r>
      <w:proofErr w:type="spellStart"/>
      <w:r w:rsidR="00ED61FE">
        <w:rPr>
          <w:rFonts w:ascii="Arial" w:eastAsia="Calibri" w:hAnsi="Arial" w:cs="Arial"/>
          <w:bCs/>
          <w:sz w:val="24"/>
          <w:szCs w:val="24"/>
        </w:rPr>
        <w:t>коронавирусной</w:t>
      </w:r>
      <w:proofErr w:type="spellEnd"/>
      <w:r w:rsidR="00ED61FE">
        <w:rPr>
          <w:rFonts w:ascii="Arial" w:eastAsia="Calibri" w:hAnsi="Arial" w:cs="Arial"/>
          <w:bCs/>
          <w:sz w:val="24"/>
          <w:szCs w:val="24"/>
        </w:rPr>
        <w:t xml:space="preserve"> инфекции </w:t>
      </w:r>
      <w:r w:rsidR="00ED61FE">
        <w:rPr>
          <w:rFonts w:ascii="Arial" w:eastAsia="Calibri" w:hAnsi="Arial" w:cs="Arial"/>
          <w:bCs/>
          <w:sz w:val="24"/>
          <w:szCs w:val="24"/>
          <w:lang w:val="en-US"/>
        </w:rPr>
        <w:t>COVID</w:t>
      </w:r>
      <w:r w:rsidR="00ED61FE" w:rsidRPr="00ED61FE">
        <w:rPr>
          <w:rFonts w:ascii="Arial" w:eastAsia="Calibri" w:hAnsi="Arial" w:cs="Arial"/>
          <w:bCs/>
          <w:sz w:val="24"/>
          <w:szCs w:val="24"/>
        </w:rPr>
        <w:t>-19</w:t>
      </w:r>
    </w:p>
    <w:p w:rsidR="00ED61FE" w:rsidRDefault="00ED61FE" w:rsidP="00AF115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115C" w:rsidRDefault="00AF115C" w:rsidP="00AF115C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AF115C" w:rsidRDefault="00AF115C" w:rsidP="00AF11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7F08" w:rsidRDefault="00AF115C" w:rsidP="00AF11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 </w:t>
      </w:r>
      <w:r w:rsidR="00D97F08">
        <w:rPr>
          <w:rFonts w:ascii="Arial" w:eastAsia="Calibri" w:hAnsi="Arial" w:cs="Arial"/>
          <w:sz w:val="24"/>
          <w:szCs w:val="24"/>
        </w:rPr>
        <w:t>Освободить от уплаты арендных платежей субъектов малого и среднего предпринимательства, осуществляющих виды деятельности в отраслях экономики, согласно приложению:</w:t>
      </w:r>
    </w:p>
    <w:p w:rsidR="00D97F08" w:rsidRDefault="00D97F08" w:rsidP="00AF11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Арендаторов земельных участков, находящихся в собственности муниципального образования Благовещенский поссовет Благовещенского района Алтайского края, цель использования которых по договору аренды земельных участков соответствует видам деятельности в отраслях экономики, согласно приложению;</w:t>
      </w:r>
    </w:p>
    <w:p w:rsidR="00204296" w:rsidRDefault="00D97F08" w:rsidP="00AF11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Арендаторов муниципального недвижимого имущества Благовещенского поссовета Благовещенского района Алтайского края, закрепленного на праве хозяйственного ведения, оперативного управления за муниципальными унитарными предприятиями</w:t>
      </w:r>
      <w:r w:rsidR="00204296">
        <w:rPr>
          <w:rFonts w:ascii="Arial" w:eastAsia="Calibri" w:hAnsi="Arial" w:cs="Arial"/>
          <w:sz w:val="24"/>
          <w:szCs w:val="24"/>
        </w:rPr>
        <w:t>, муниципальными учреждениями, цель использования которого по договорам аренды соответствует видам деятельности в отраслях экономики, согласно приложению.</w:t>
      </w:r>
    </w:p>
    <w:p w:rsidR="00AF115C" w:rsidRDefault="00AF115C" w:rsidP="00AF1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2. </w:t>
      </w:r>
      <w:r w:rsidR="00204296">
        <w:rPr>
          <w:rFonts w:ascii="Arial" w:eastAsia="Calibri" w:hAnsi="Arial" w:cs="Arial"/>
          <w:sz w:val="24"/>
          <w:szCs w:val="24"/>
        </w:rPr>
        <w:t>Освобождение от уплаты арендных платежей предоставляется за период с 01.11.2021 по 30.04.2022 в отношении договоров аренды, заключенных до 01.11.2021, на основании обращений арендаторов.</w:t>
      </w:r>
    </w:p>
    <w:p w:rsidR="00AF115C" w:rsidRDefault="00AF115C" w:rsidP="00AF1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3. </w:t>
      </w:r>
      <w:r w:rsidR="00204296">
        <w:rPr>
          <w:rFonts w:ascii="Arial" w:eastAsia="Calibri" w:hAnsi="Arial" w:cs="Arial"/>
          <w:sz w:val="24"/>
          <w:szCs w:val="24"/>
        </w:rPr>
        <w:t>Обращение арендаторов земельных участков, указанных в абзаце втором пункта 1 настоящего постановления, рассматривается органом местного самоуправления, заключившим договор аренды земельного участка, в срок не позднее 15 рабочих дней со дня поступления такого обращения.</w:t>
      </w:r>
    </w:p>
    <w:p w:rsidR="00204296" w:rsidRDefault="00204296" w:rsidP="00AF1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4. Обращения арендаторов, указанных в абзаце третьем пункта 1 настоящего постановления, рассматриваются арендодателями в срок не позднее 15 рабочих дней со дня поступления такого обращения.</w:t>
      </w:r>
    </w:p>
    <w:p w:rsidR="00204296" w:rsidRDefault="00204296" w:rsidP="00AF1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Основанием для принятия решения об освобождении от уплаты арендных платежей является акт, составленный арендодателем, подтверждающий соответствие целевого использования имущества видам деятельности в отраслях экономики, согласно приложению.</w:t>
      </w:r>
    </w:p>
    <w:p w:rsidR="00AF115C" w:rsidRDefault="00DC6085" w:rsidP="00AF11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5</w:t>
      </w:r>
      <w:r w:rsidR="00AF115C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AF115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AF115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eastAsia="Calibri" w:hAnsi="Arial" w:cs="Arial"/>
          <w:sz w:val="24"/>
          <w:szCs w:val="24"/>
        </w:rPr>
        <w:t>специалиста отдела по имущественным и земельным вопросам</w:t>
      </w:r>
      <w:r w:rsidR="00AF115C">
        <w:rPr>
          <w:rFonts w:ascii="Arial" w:eastAsia="Calibri" w:hAnsi="Arial" w:cs="Arial"/>
          <w:sz w:val="24"/>
          <w:szCs w:val="24"/>
        </w:rPr>
        <w:t xml:space="preserve"> Администрации Благовещ</w:t>
      </w:r>
      <w:r w:rsidR="00F501F0">
        <w:rPr>
          <w:rFonts w:ascii="Arial" w:eastAsia="Calibri" w:hAnsi="Arial" w:cs="Arial"/>
          <w:sz w:val="24"/>
          <w:szCs w:val="24"/>
        </w:rPr>
        <w:t>енского поссовета (Т. С. Гамаюнова</w:t>
      </w:r>
      <w:r w:rsidR="00AF115C">
        <w:rPr>
          <w:rFonts w:ascii="Arial" w:eastAsia="Calibri" w:hAnsi="Arial" w:cs="Arial"/>
          <w:sz w:val="24"/>
          <w:szCs w:val="24"/>
        </w:rPr>
        <w:t>).</w:t>
      </w:r>
    </w:p>
    <w:p w:rsidR="00AF115C" w:rsidRDefault="00AF115C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01F0" w:rsidRDefault="00F501F0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5C" w:rsidRPr="00711B70" w:rsidRDefault="00AF115C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AF115C" w:rsidRPr="00711B70" w:rsidRDefault="00AF115C" w:rsidP="00AF1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AF115C" w:rsidRDefault="00AF115C" w:rsidP="00AF1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5C" w:rsidRDefault="007C6688" w:rsidP="007C6688">
      <w:pPr>
        <w:tabs>
          <w:tab w:val="left" w:pos="5145"/>
          <w:tab w:val="left" w:pos="6015"/>
        </w:tabs>
      </w:pPr>
      <w:r>
        <w:tab/>
      </w:r>
    </w:p>
    <w:p w:rsidR="00AF115C" w:rsidRDefault="00AF115C" w:rsidP="007C6688">
      <w:pPr>
        <w:tabs>
          <w:tab w:val="left" w:pos="5145"/>
          <w:tab w:val="left" w:pos="6015"/>
        </w:tabs>
      </w:pPr>
      <w:r>
        <w:t xml:space="preserve">                                                                                                       </w:t>
      </w: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AF115C" w:rsidRDefault="00AF115C" w:rsidP="007C6688">
      <w:pPr>
        <w:tabs>
          <w:tab w:val="left" w:pos="5145"/>
          <w:tab w:val="left" w:pos="6015"/>
        </w:tabs>
      </w:pPr>
    </w:p>
    <w:p w:rsidR="007C6688" w:rsidRPr="00AF115C" w:rsidRDefault="00F501F0" w:rsidP="007C6688">
      <w:pPr>
        <w:tabs>
          <w:tab w:val="left" w:pos="5145"/>
          <w:tab w:val="left" w:pos="6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</w:t>
      </w:r>
      <w:r w:rsidR="007C6688" w:rsidRPr="00AF115C">
        <w:rPr>
          <w:rFonts w:ascii="Arial" w:hAnsi="Arial" w:cs="Arial"/>
          <w:sz w:val="24"/>
          <w:szCs w:val="24"/>
        </w:rPr>
        <w:t>Приложение к постановлению</w:t>
      </w:r>
    </w:p>
    <w:p w:rsidR="007C6688" w:rsidRPr="00AF115C" w:rsidRDefault="00F501F0" w:rsidP="007C6688">
      <w:pPr>
        <w:tabs>
          <w:tab w:val="left" w:pos="5175"/>
          <w:tab w:val="left" w:pos="6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C6688" w:rsidRPr="00AF115C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7C6688" w:rsidRPr="00AF115C">
        <w:rPr>
          <w:rFonts w:ascii="Arial" w:hAnsi="Arial" w:cs="Arial"/>
          <w:sz w:val="24"/>
          <w:szCs w:val="24"/>
        </w:rPr>
        <w:t>Благовещенского</w:t>
      </w:r>
      <w:proofErr w:type="gramEnd"/>
    </w:p>
    <w:p w:rsidR="007C6688" w:rsidRPr="00AF115C" w:rsidRDefault="007C6688" w:rsidP="007C6688">
      <w:pPr>
        <w:tabs>
          <w:tab w:val="left" w:pos="5265"/>
          <w:tab w:val="left" w:pos="6015"/>
        </w:tabs>
        <w:rPr>
          <w:rFonts w:ascii="Arial" w:hAnsi="Arial" w:cs="Arial"/>
          <w:sz w:val="24"/>
          <w:szCs w:val="24"/>
        </w:rPr>
      </w:pPr>
      <w:r w:rsidRPr="00AF115C">
        <w:rPr>
          <w:rFonts w:ascii="Arial" w:hAnsi="Arial" w:cs="Arial"/>
          <w:sz w:val="24"/>
          <w:szCs w:val="24"/>
        </w:rPr>
        <w:t xml:space="preserve">                                   </w:t>
      </w:r>
      <w:r w:rsidR="00F501F0">
        <w:rPr>
          <w:rFonts w:ascii="Arial" w:hAnsi="Arial" w:cs="Arial"/>
          <w:sz w:val="24"/>
          <w:szCs w:val="24"/>
        </w:rPr>
        <w:t xml:space="preserve">                               </w:t>
      </w:r>
      <w:r w:rsidRPr="00AF115C">
        <w:rPr>
          <w:rFonts w:ascii="Arial" w:hAnsi="Arial" w:cs="Arial"/>
          <w:sz w:val="24"/>
          <w:szCs w:val="24"/>
        </w:rPr>
        <w:t xml:space="preserve"> поссовета от « </w:t>
      </w:r>
      <w:r w:rsidR="000E0D3F">
        <w:rPr>
          <w:rFonts w:ascii="Arial" w:hAnsi="Arial" w:cs="Arial"/>
          <w:sz w:val="24"/>
          <w:szCs w:val="24"/>
        </w:rPr>
        <w:t>21</w:t>
      </w:r>
      <w:r w:rsidRPr="00AF115C">
        <w:rPr>
          <w:rFonts w:ascii="Arial" w:hAnsi="Arial" w:cs="Arial"/>
          <w:sz w:val="24"/>
          <w:szCs w:val="24"/>
        </w:rPr>
        <w:t xml:space="preserve"> »      </w:t>
      </w:r>
      <w:r w:rsidR="000E0D3F">
        <w:rPr>
          <w:rFonts w:ascii="Arial" w:hAnsi="Arial" w:cs="Arial"/>
          <w:sz w:val="24"/>
          <w:szCs w:val="24"/>
        </w:rPr>
        <w:t>января</w:t>
      </w:r>
      <w:bookmarkStart w:id="0" w:name="_GoBack"/>
      <w:bookmarkEnd w:id="0"/>
      <w:r w:rsidRPr="00AF115C">
        <w:rPr>
          <w:rFonts w:ascii="Arial" w:hAnsi="Arial" w:cs="Arial"/>
          <w:sz w:val="24"/>
          <w:szCs w:val="24"/>
        </w:rPr>
        <w:t xml:space="preserve">  2022 №</w:t>
      </w:r>
      <w:r w:rsidR="000E0D3F">
        <w:rPr>
          <w:rFonts w:ascii="Arial" w:hAnsi="Arial" w:cs="Arial"/>
          <w:sz w:val="24"/>
          <w:szCs w:val="24"/>
        </w:rPr>
        <w:t xml:space="preserve"> 11</w:t>
      </w:r>
    </w:p>
    <w:p w:rsidR="007C6688" w:rsidRPr="00AF115C" w:rsidRDefault="007C6688" w:rsidP="007C6688">
      <w:pPr>
        <w:rPr>
          <w:rFonts w:ascii="Arial" w:hAnsi="Arial" w:cs="Arial"/>
          <w:sz w:val="24"/>
          <w:szCs w:val="24"/>
        </w:rPr>
      </w:pPr>
    </w:p>
    <w:p w:rsidR="007C6688" w:rsidRPr="00AF115C" w:rsidRDefault="007C6688" w:rsidP="007C6688">
      <w:pPr>
        <w:jc w:val="center"/>
        <w:rPr>
          <w:rFonts w:ascii="Arial" w:hAnsi="Arial" w:cs="Arial"/>
          <w:b/>
          <w:sz w:val="24"/>
          <w:szCs w:val="24"/>
        </w:rPr>
      </w:pPr>
    </w:p>
    <w:p w:rsidR="007C6688" w:rsidRPr="00AF115C" w:rsidRDefault="007C6688" w:rsidP="007C6688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r w:rsidRPr="00AF115C">
        <w:rPr>
          <w:rFonts w:ascii="Arial" w:hAnsi="Arial" w:cs="Arial"/>
          <w:b/>
          <w:sz w:val="24"/>
          <w:szCs w:val="24"/>
        </w:rPr>
        <w:t>ПЕРЕЧЕНЬ</w:t>
      </w:r>
    </w:p>
    <w:p w:rsidR="007C6688" w:rsidRPr="00AF115C" w:rsidRDefault="007C6688" w:rsidP="007C6688">
      <w:pPr>
        <w:tabs>
          <w:tab w:val="left" w:pos="2700"/>
        </w:tabs>
        <w:jc w:val="center"/>
        <w:rPr>
          <w:rFonts w:ascii="Arial" w:hAnsi="Arial" w:cs="Arial"/>
          <w:b/>
          <w:sz w:val="24"/>
          <w:szCs w:val="24"/>
        </w:rPr>
      </w:pPr>
      <w:r w:rsidRPr="00AF115C">
        <w:rPr>
          <w:rFonts w:ascii="Arial" w:hAnsi="Arial" w:cs="Arial"/>
          <w:b/>
          <w:sz w:val="24"/>
          <w:szCs w:val="24"/>
        </w:rPr>
        <w:t>видов деятельности в отраслях экономики</w:t>
      </w:r>
    </w:p>
    <w:p w:rsidR="007C6688" w:rsidRPr="00AF115C" w:rsidRDefault="007C6688" w:rsidP="007C668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7579"/>
        <w:gridCol w:w="1038"/>
      </w:tblGrid>
      <w:tr w:rsidR="007C6688" w:rsidRPr="00AF115C" w:rsidTr="007C6688">
        <w:tc>
          <w:tcPr>
            <w:tcW w:w="959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F115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115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 Наименование вида экономической деятельности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Код ОКВЭД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                  Транспортная деятельность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49.4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         Культура, организация досуга и развлечений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59.14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музеев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91.02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зоопарков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91.04.1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32.99.8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  Физкультурно-оздоровительная деятельность и спорт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96.04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958" w:type="dxa"/>
          </w:tcPr>
          <w:p w:rsidR="007C6688" w:rsidRPr="00AF115C" w:rsidRDefault="00B07656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86.90.4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Деятельность туристических агентств и прочих организаций,    предоставляющих услуги в сфере туризма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туристических агентств и прочих организаций,    предоставляющих услуги в сфере туризма</w:t>
            </w:r>
          </w:p>
        </w:tc>
        <w:tc>
          <w:tcPr>
            <w:tcW w:w="958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                        Гостиничный бизнес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958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7C6688" w:rsidRPr="00AF115C" w:rsidRDefault="00466B97" w:rsidP="00466B97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ab/>
              <w:t xml:space="preserve">                   Общественное питание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958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7C6688" w:rsidRPr="00AF115C" w:rsidRDefault="00466B97" w:rsidP="00466B97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ab/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958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85.41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958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88.91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7C6688" w:rsidRPr="00AF115C" w:rsidRDefault="00466B97" w:rsidP="00466B97">
            <w:pPr>
              <w:tabs>
                <w:tab w:val="left" w:pos="915"/>
              </w:tabs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ab/>
              <w:t>Деятельность по организации конференций и выставок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7654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958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82.3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466B97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7C6688" w:rsidRPr="00AF115C" w:rsidRDefault="00466B97" w:rsidP="00466B97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ab/>
              <w:t>Деятельность</w:t>
            </w:r>
            <w:r w:rsidR="00A24D4A" w:rsidRPr="00AF115C">
              <w:rPr>
                <w:rFonts w:ascii="Arial" w:hAnsi="Arial" w:cs="Arial"/>
                <w:sz w:val="24"/>
                <w:szCs w:val="24"/>
              </w:rPr>
              <w:t xml:space="preserve"> по предоставлению бытовых услуг населению (ремонт, услуги парикмахерских и салонов красоты)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958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958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96.02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</w:tcPr>
          <w:p w:rsidR="007C6688" w:rsidRPr="00AF115C" w:rsidRDefault="00A24D4A" w:rsidP="00A24D4A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ab/>
              <w:t>Деятельность в области здравоохранения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958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86.23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Розничная торговля непродовольственными товарами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A24D4A">
        <w:trPr>
          <w:trHeight w:val="488"/>
        </w:trPr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958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47.19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958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47.4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7654" w:type="dxa"/>
          </w:tcPr>
          <w:p w:rsidR="007C6688" w:rsidRPr="00AF115C" w:rsidRDefault="00A24D4A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Торговля розничная прочими бытовыми изделиями в </w:t>
            </w:r>
            <w:r w:rsidR="00587623" w:rsidRPr="00AF115C">
              <w:rPr>
                <w:rFonts w:ascii="Arial" w:hAnsi="Arial" w:cs="Arial"/>
                <w:sz w:val="24"/>
                <w:szCs w:val="24"/>
              </w:rPr>
              <w:t>специализированных магазинах</w:t>
            </w:r>
          </w:p>
        </w:tc>
        <w:tc>
          <w:tcPr>
            <w:tcW w:w="958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47.5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11.4</w:t>
            </w:r>
          </w:p>
        </w:tc>
        <w:tc>
          <w:tcPr>
            <w:tcW w:w="7654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958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47.6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11.5</w:t>
            </w:r>
          </w:p>
        </w:tc>
        <w:tc>
          <w:tcPr>
            <w:tcW w:w="7654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958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47.7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11.6</w:t>
            </w:r>
          </w:p>
        </w:tc>
        <w:tc>
          <w:tcPr>
            <w:tcW w:w="7654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958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47.89</w:t>
            </w: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 xml:space="preserve">                      Операции с недвижимым имуществом</w:t>
            </w:r>
          </w:p>
        </w:tc>
        <w:tc>
          <w:tcPr>
            <w:tcW w:w="958" w:type="dxa"/>
          </w:tcPr>
          <w:p w:rsidR="007C6688" w:rsidRPr="00AF115C" w:rsidRDefault="007C6688" w:rsidP="007C66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688" w:rsidRPr="00AF115C" w:rsidTr="007C6688">
        <w:tc>
          <w:tcPr>
            <w:tcW w:w="959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7654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115C">
              <w:rPr>
                <w:rFonts w:ascii="Arial" w:hAnsi="Arial" w:cs="Arial"/>
                <w:sz w:val="24"/>
                <w:szCs w:val="24"/>
              </w:rPr>
              <w:t>Аренда и управление собственным или арендованным недвижимым имуществом (в части субъектов малого и среднего предпринимательства, предоставляющих в аренду недвижимое имущество, расположенное в торговых, торгово-развлекательных центрах (комплексах)</w:t>
            </w:r>
            <w:proofErr w:type="gramEnd"/>
          </w:p>
        </w:tc>
        <w:tc>
          <w:tcPr>
            <w:tcW w:w="958" w:type="dxa"/>
          </w:tcPr>
          <w:p w:rsidR="007C6688" w:rsidRPr="00AF115C" w:rsidRDefault="00587623" w:rsidP="007C6688">
            <w:pPr>
              <w:rPr>
                <w:rFonts w:ascii="Arial" w:hAnsi="Arial" w:cs="Arial"/>
                <w:sz w:val="24"/>
                <w:szCs w:val="24"/>
              </w:rPr>
            </w:pPr>
            <w:r w:rsidRPr="00AF115C">
              <w:rPr>
                <w:rFonts w:ascii="Arial" w:hAnsi="Arial" w:cs="Arial"/>
                <w:sz w:val="24"/>
                <w:szCs w:val="24"/>
              </w:rPr>
              <w:t>68.2</w:t>
            </w:r>
          </w:p>
        </w:tc>
      </w:tr>
    </w:tbl>
    <w:p w:rsidR="00D86421" w:rsidRPr="00AF115C" w:rsidRDefault="000E0D3F" w:rsidP="007C6688">
      <w:pPr>
        <w:rPr>
          <w:rFonts w:ascii="Arial" w:hAnsi="Arial" w:cs="Arial"/>
          <w:sz w:val="24"/>
          <w:szCs w:val="24"/>
        </w:rPr>
      </w:pPr>
    </w:p>
    <w:sectPr w:rsidR="00D86421" w:rsidRPr="00AF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1"/>
    <w:rsid w:val="000E0D3F"/>
    <w:rsid w:val="00204296"/>
    <w:rsid w:val="00221A60"/>
    <w:rsid w:val="004218EF"/>
    <w:rsid w:val="00466B97"/>
    <w:rsid w:val="00587623"/>
    <w:rsid w:val="007929B6"/>
    <w:rsid w:val="007C6688"/>
    <w:rsid w:val="008A2807"/>
    <w:rsid w:val="00A24D4A"/>
    <w:rsid w:val="00AF115C"/>
    <w:rsid w:val="00B07656"/>
    <w:rsid w:val="00BC3C71"/>
    <w:rsid w:val="00D55D23"/>
    <w:rsid w:val="00D97F08"/>
    <w:rsid w:val="00DC6085"/>
    <w:rsid w:val="00ED61FE"/>
    <w:rsid w:val="00F501F0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5C6E-A36F-4235-B010-56F65775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2022-01-19T06:21:00Z</dcterms:created>
  <dcterms:modified xsi:type="dcterms:W3CDTF">2022-01-21T03:09:00Z</dcterms:modified>
</cp:coreProperties>
</file>